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附件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24"/>
          <w:szCs w:val="24"/>
        </w:rPr>
        <w:t>：国际生专业课程设置参考</w:t>
      </w:r>
    </w:p>
    <w:p>
      <w:pPr>
        <w:spacing w:line="0" w:lineRule="atLeast"/>
        <w:rPr>
          <w:rFonts w:hint="eastAsia" w:ascii="楷体" w:hAnsi="楷体" w:eastAsia="楷体" w:cs="楷体"/>
          <w:b/>
          <w:sz w:val="28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1355"/>
        <w:gridCol w:w="1461"/>
        <w:gridCol w:w="1312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1.语言文化课程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西班牙语（西语）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90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西班牙语（西语）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商务西班牙语（西语）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学术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西班牙语（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西语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加泰罗尼亚语入门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加泰罗尼亚语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1355"/>
        <w:gridCol w:w="1461"/>
        <w:gridCol w:w="1312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2.商业领域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跨文化管理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国际商务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国际金融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国际市场营销战略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企业战略管理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企业家精神和新企业创建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电子商务和互联网商务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国际商务管理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技巧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新兴市场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开展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国际商务（西语）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国际市场营销战略（西语）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跨文化管理（西语）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国际商务管理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技巧（西语）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全球化背景下的本土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企业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人力资源管理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960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管理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服务</w:t>
            </w:r>
          </w:p>
        </w:tc>
        <w:tc>
          <w:tcPr>
            <w:tcW w:w="135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1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419"/>
        <w:gridCol w:w="1419"/>
        <w:gridCol w:w="1308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3.经济-政治领域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商业与经济战略行为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国际经济学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不平等，贫困及国际化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创造性经济学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经济行为与激励：</w:t>
            </w:r>
          </w:p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以足球产业为例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发展中的世界政治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地缘政治及国际关系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欧洲经济入门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欧洲一体化政治经济学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在国际化时代的政治，</w:t>
            </w:r>
          </w:p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战争及经济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419"/>
        <w:gridCol w:w="1419"/>
        <w:gridCol w:w="1308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4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艺术-建筑领域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西班牙当代艺术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西班牙艺术（西语）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西班牙艺术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与文化遗产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西班牙七大奇迹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当代西班牙艺术新趋势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西班牙经典艺术著作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数字摄影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942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城市涂鸦和公共雕塑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9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现代主义：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新艺术风格的建筑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梗概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与说明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6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21"/>
        <w:gridCol w:w="1423"/>
        <w:gridCol w:w="1281"/>
        <w:gridCol w:w="18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972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5.传媒</w:t>
            </w:r>
          </w:p>
        </w:tc>
        <w:tc>
          <w:tcPr>
            <w:tcW w:w="1421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23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281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34" w:type="dxa"/>
            <w:tcBorders>
              <w:insideV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9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传媒</w:t>
            </w:r>
            <w:r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  <w:t>与性别</w:t>
            </w: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问题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4"/>
                <w:szCs w:val="24"/>
              </w:rPr>
              <w:t>跨文化</w:t>
            </w:r>
            <w:r>
              <w:rPr>
                <w:rFonts w:ascii="楷体" w:hAnsi="楷体" w:eastAsia="楷体"/>
                <w:b/>
                <w:bCs/>
                <w:color w:val="auto"/>
                <w:sz w:val="24"/>
                <w:szCs w:val="24"/>
              </w:rPr>
              <w:t>传媒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4"/>
        <w:tblW w:w="8931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242"/>
        <w:gridCol w:w="1419"/>
        <w:gridCol w:w="1308"/>
        <w:gridCol w:w="18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6</w:t>
            </w:r>
            <w:r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地中海研究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课时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授课语言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地中海政治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大中东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研究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非国家的文化：加泰罗尼亚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西班牙与欧洲的城市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化道路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巴塞罗那城市规划及建筑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地中海文化及历史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西班牙文明与文化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西班牙文明与文化（西语）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西语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9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20世纪的西班牙史</w:t>
            </w:r>
          </w:p>
        </w:tc>
        <w:tc>
          <w:tcPr>
            <w:tcW w:w="1242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119" w:type="dxa"/>
            <w:tcBorders>
              <w:insideH w:val="nil"/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4"/>
                <w:szCs w:val="24"/>
              </w:rPr>
              <w:t>文学中的巴塞罗那</w:t>
            </w:r>
            <w:bookmarkStart w:id="0" w:name="_GoBack"/>
            <w:bookmarkEnd w:id="0"/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秋/春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F1896"/>
    <w:rsid w:val="2B6D3A13"/>
    <w:rsid w:val="568A105F"/>
    <w:rsid w:val="58FC5CAC"/>
    <w:rsid w:val="63D213C0"/>
    <w:rsid w:val="6B553F0C"/>
    <w:rsid w:val="754F1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 Accent 5"/>
    <w:basedOn w:val="3"/>
    <w:qFormat/>
    <w:uiPriority w:val="69"/>
    <w:rPr>
      <w:kern w:val="2"/>
      <w:sz w:val="21"/>
      <w:szCs w:val="22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paragraph" w:styleId="5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Theme="minorHAnsi" w:hAnsiTheme="minorHAnsi"/>
      <w:kern w:val="0"/>
      <w:sz w:val="20"/>
    </w:rPr>
  </w:style>
  <w:style w:type="table" w:customStyle="1" w:styleId="6">
    <w:name w:val="Grid Table 5 Dark Accent 5"/>
    <w:basedOn w:val="3"/>
    <w:qFormat/>
    <w:uiPriority w:val="50"/>
    <w:rPr>
      <w:kern w:val="2"/>
      <w:sz w:val="21"/>
      <w:szCs w:val="22"/>
    </w:r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2018-04-25T02:59:00Z</dcterms:created>
  <dc:creator>艾蔻娃娃</dc:creator>
  <cp:lastModifiedBy>艾蔻娃娃</cp:lastModifiedBy>
  <dcterms:modified xsi:type="dcterms:W3CDTF">2019-02-26T03:49:52Z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